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B4" w:rsidRDefault="00C51737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-332452</wp:posOffset>
            </wp:positionH>
            <wp:positionV relativeFrom="paragraph">
              <wp:posOffset>-311554</wp:posOffset>
            </wp:positionV>
            <wp:extent cx="3621167" cy="13369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658300" cy="135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>Отдел сводных статистических работ</w:t>
      </w:r>
      <w:r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 xml:space="preserve"> и общественных связей</w:t>
      </w:r>
    </w:p>
    <w:p w:rsidR="00A96FB4" w:rsidRDefault="00C51737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>
        <w:rPr>
          <w:rFonts w:ascii="Arial" w:hAnsi="Arial" w:cs="Arial"/>
          <w:color w:val="282A2E" w:themeColor="text1"/>
          <w:sz w:val="20"/>
          <w:szCs w:val="20"/>
        </w:rPr>
        <w:t>Телефон: +7 (4842) 59-13-31</w:t>
      </w:r>
    </w:p>
    <w:p w:rsidR="00A96FB4" w:rsidRDefault="00C51737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>
        <w:rPr>
          <w:rFonts w:ascii="Arial" w:hAnsi="Arial" w:cs="Arial"/>
          <w:color w:val="282A2E" w:themeColor="text1"/>
          <w:sz w:val="20"/>
          <w:szCs w:val="20"/>
        </w:rPr>
        <w:t>-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>
        <w:rPr>
          <w:rFonts w:ascii="Arial" w:hAnsi="Arial" w:cs="Arial"/>
          <w:color w:val="282A2E" w:themeColor="text1"/>
          <w:sz w:val="20"/>
          <w:szCs w:val="20"/>
        </w:rPr>
        <w:t>: 40@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>
        <w:rPr>
          <w:rFonts w:ascii="Arial" w:hAnsi="Arial" w:cs="Arial"/>
          <w:color w:val="282A2E" w:themeColor="text1"/>
          <w:sz w:val="20"/>
          <w:szCs w:val="20"/>
        </w:rPr>
        <w:t>.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>
        <w:rPr>
          <w:rFonts w:ascii="Arial" w:hAnsi="Arial" w:cs="Arial"/>
          <w:color w:val="282A2E" w:themeColor="text1"/>
          <w:sz w:val="20"/>
          <w:szCs w:val="20"/>
        </w:rPr>
        <w:t>.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:rsidR="00A96FB4" w:rsidRDefault="00A96FB4">
      <w:pPr>
        <w:pStyle w:val="af3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</w:p>
    <w:p w:rsidR="00A96FB4" w:rsidRDefault="00A96FB4">
      <w:pPr>
        <w:pStyle w:val="af3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</w:p>
    <w:p w:rsidR="00A96FB4" w:rsidRDefault="00C51737">
      <w:pPr>
        <w:pStyle w:val="af3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:rsidR="00A96FB4" w:rsidRDefault="00EA0E52">
      <w:pPr>
        <w:pStyle w:val="af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0</w:t>
      </w:r>
      <w:r w:rsidR="005B3F22">
        <w:rPr>
          <w:rFonts w:ascii="Arial" w:hAnsi="Arial" w:cs="Arial"/>
          <w:b/>
          <w:bCs/>
          <w:color w:val="282A2E"/>
          <w:sz w:val="26"/>
          <w:szCs w:val="26"/>
        </w:rPr>
        <w:t>9</w:t>
      </w:r>
      <w:r w:rsidR="00C51737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августа</w:t>
      </w:r>
      <w:r w:rsidR="00C51737">
        <w:rPr>
          <w:rFonts w:ascii="Arial" w:hAnsi="Arial" w:cs="Arial"/>
          <w:b/>
          <w:bCs/>
          <w:color w:val="282A2E"/>
          <w:sz w:val="26"/>
          <w:szCs w:val="26"/>
        </w:rPr>
        <w:t xml:space="preserve"> 2024, Калуга</w:t>
      </w:r>
      <w:r w:rsidR="00C51737">
        <w:rPr>
          <w:rFonts w:ascii="Arial" w:hAnsi="Arial" w:cs="Arial"/>
          <w:b/>
          <w:bCs/>
          <w:color w:val="282A2E"/>
          <w:sz w:val="28"/>
          <w:szCs w:val="28"/>
        </w:rPr>
        <w:t xml:space="preserve"> </w:t>
      </w:r>
    </w:p>
    <w:p w:rsidR="00A96FB4" w:rsidRDefault="00C51737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ПОТРЕБИТЕЛЬСКИЙ РЫНОК КАЛУЖСКОЙ ОБЛАСТИ 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br/>
        <w:t xml:space="preserve">В ЯНВАРЕ – </w:t>
      </w:r>
      <w:r w:rsidR="00EA0E52">
        <w:rPr>
          <w:rFonts w:ascii="Arial" w:hAnsi="Arial" w:cs="Arial"/>
          <w:b/>
          <w:bCs/>
          <w:color w:val="363194" w:themeColor="accent1"/>
          <w:sz w:val="32"/>
          <w:szCs w:val="32"/>
        </w:rPr>
        <w:t>ИЮН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Е 2024 ГОД</w:t>
      </w:r>
      <w:r w:rsidR="00B352E7">
        <w:rPr>
          <w:rFonts w:ascii="Arial" w:hAnsi="Arial" w:cs="Arial"/>
          <w:b/>
          <w:bCs/>
          <w:color w:val="363194" w:themeColor="accent1"/>
          <w:sz w:val="32"/>
          <w:szCs w:val="32"/>
        </w:rPr>
        <w:t>А</w:t>
      </w:r>
    </w:p>
    <w:p w:rsidR="00A96FB4" w:rsidRDefault="00A96FB4">
      <w:pPr>
        <w:jc w:val="both"/>
        <w:rPr>
          <w:rFonts w:ascii="Arial" w:hAnsi="Arial" w:cs="Arial"/>
          <w:color w:val="282A2E"/>
        </w:rPr>
      </w:pPr>
    </w:p>
    <w:p w:rsidR="00B260AF" w:rsidRDefault="00B260AF" w:rsidP="00B260AF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январе – </w:t>
      </w:r>
      <w:r w:rsidR="00D9726A">
        <w:rPr>
          <w:rFonts w:ascii="Arial" w:hAnsi="Arial" w:cs="Arial"/>
          <w:color w:val="282A2E"/>
        </w:rPr>
        <w:t>июне 2024 года</w:t>
      </w:r>
      <w:r>
        <w:rPr>
          <w:rFonts w:ascii="Arial" w:hAnsi="Arial" w:cs="Arial"/>
          <w:color w:val="282A2E"/>
        </w:rPr>
        <w:t xml:space="preserve"> оборот розничной торговли области составил 147 млрд 250 млн рублей. В товарной массе он увеличился по сра</w:t>
      </w:r>
      <w:r w:rsidR="00D9726A">
        <w:rPr>
          <w:rFonts w:ascii="Arial" w:hAnsi="Arial" w:cs="Arial"/>
          <w:color w:val="282A2E"/>
        </w:rPr>
        <w:t>внению с январем – июнем 2023 года</w:t>
      </w:r>
      <w:r>
        <w:rPr>
          <w:rFonts w:ascii="Arial" w:hAnsi="Arial" w:cs="Arial"/>
          <w:color w:val="282A2E"/>
        </w:rPr>
        <w:t xml:space="preserve"> на 2,9%.</w:t>
      </w:r>
    </w:p>
    <w:p w:rsidR="00B260AF" w:rsidRPr="00D9726A" w:rsidRDefault="00B260AF" w:rsidP="00B260AF">
      <w:pPr>
        <w:ind w:firstLine="567"/>
        <w:jc w:val="both"/>
        <w:rPr>
          <w:rFonts w:ascii="Arial" w:hAnsi="Arial" w:cs="Arial"/>
          <w:color w:val="282A2E"/>
          <w:spacing w:val="-4"/>
        </w:rPr>
      </w:pPr>
      <w:r w:rsidRPr="00D9726A">
        <w:rPr>
          <w:rFonts w:ascii="Arial" w:hAnsi="Arial" w:cs="Arial"/>
          <w:color w:val="282A2E"/>
          <w:spacing w:val="-4"/>
        </w:rPr>
        <w:t>Оборот розничной торговли пищевыми продуктами - 72 млрд 852 млн рублей, что в товарной массе на 2% бол</w:t>
      </w:r>
      <w:r w:rsidR="00D9726A" w:rsidRPr="00D9726A">
        <w:rPr>
          <w:rFonts w:ascii="Arial" w:hAnsi="Arial" w:cs="Arial"/>
          <w:color w:val="282A2E"/>
          <w:spacing w:val="-4"/>
        </w:rPr>
        <w:t>ьше, чем в январе – июне 2023 года</w:t>
      </w:r>
      <w:r w:rsidRPr="00D9726A">
        <w:rPr>
          <w:rFonts w:ascii="Arial" w:hAnsi="Arial" w:cs="Arial"/>
          <w:color w:val="282A2E"/>
          <w:spacing w:val="-4"/>
        </w:rPr>
        <w:t xml:space="preserve">, непродовольственными товарами - 74 млрд </w:t>
      </w:r>
      <w:r w:rsidRPr="00D9726A">
        <w:rPr>
          <w:rFonts w:ascii="Arial" w:hAnsi="Arial" w:cs="Arial"/>
          <w:color w:val="282A2E"/>
          <w:spacing w:val="-4"/>
        </w:rPr>
        <w:br/>
        <w:t xml:space="preserve">398 млн рублей (на 3,7% больше). На розничных рынках и </w:t>
      </w:r>
      <w:r w:rsidR="00D9726A" w:rsidRPr="00D9726A">
        <w:rPr>
          <w:rFonts w:ascii="Arial" w:hAnsi="Arial" w:cs="Arial"/>
          <w:color w:val="282A2E"/>
          <w:spacing w:val="-4"/>
        </w:rPr>
        <w:t>ярмарках в январе – июне 2024 года</w:t>
      </w:r>
      <w:r w:rsidRPr="00D9726A">
        <w:rPr>
          <w:rFonts w:ascii="Arial" w:hAnsi="Arial" w:cs="Arial"/>
          <w:color w:val="282A2E"/>
          <w:spacing w:val="-4"/>
        </w:rPr>
        <w:t xml:space="preserve"> реализовано товаров на сумму 4 млрд 956 млн рублей, что на 0,6% меньше, чем в январе – июне 2023 г</w:t>
      </w:r>
      <w:r w:rsidR="00D9726A" w:rsidRPr="00D9726A">
        <w:rPr>
          <w:rFonts w:ascii="Arial" w:hAnsi="Arial" w:cs="Arial"/>
          <w:color w:val="282A2E"/>
          <w:spacing w:val="-4"/>
        </w:rPr>
        <w:t>ода</w:t>
      </w:r>
      <w:r w:rsidRPr="00D9726A">
        <w:rPr>
          <w:rFonts w:ascii="Arial" w:hAnsi="Arial" w:cs="Arial"/>
          <w:color w:val="282A2E"/>
          <w:spacing w:val="-4"/>
        </w:rPr>
        <w:t>.</w:t>
      </w:r>
    </w:p>
    <w:p w:rsidR="00B260AF" w:rsidRDefault="00B260AF" w:rsidP="00B260AF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Организациями общественного</w:t>
      </w:r>
      <w:r w:rsidR="00DF6B51">
        <w:rPr>
          <w:rFonts w:ascii="Arial" w:hAnsi="Arial" w:cs="Arial"/>
          <w:color w:val="282A2E"/>
        </w:rPr>
        <w:t xml:space="preserve"> питания в январе – июне 2024 года</w:t>
      </w:r>
      <w:r>
        <w:rPr>
          <w:rFonts w:ascii="Arial" w:hAnsi="Arial" w:cs="Arial"/>
          <w:color w:val="282A2E"/>
        </w:rPr>
        <w:t xml:space="preserve"> реализовано продукции </w:t>
      </w:r>
      <w:r>
        <w:rPr>
          <w:rFonts w:ascii="Arial" w:hAnsi="Arial" w:cs="Arial"/>
          <w:color w:val="282A2E"/>
        </w:rPr>
        <w:br/>
        <w:t>на 8 млрд 392 млн рублей (в сопоставимых ценах на 0,2% бол</w:t>
      </w:r>
      <w:r w:rsidR="00DF6B51">
        <w:rPr>
          <w:rFonts w:ascii="Arial" w:hAnsi="Arial" w:cs="Arial"/>
          <w:color w:val="282A2E"/>
        </w:rPr>
        <w:t>ьше, чем в январе – июне 2023 года</w:t>
      </w:r>
      <w:r>
        <w:rPr>
          <w:rFonts w:ascii="Arial" w:hAnsi="Arial" w:cs="Arial"/>
          <w:color w:val="282A2E"/>
        </w:rPr>
        <w:t>).</w:t>
      </w:r>
    </w:p>
    <w:p w:rsidR="00A96FB4" w:rsidRPr="005259AA" w:rsidRDefault="00C51737">
      <w:pPr>
        <w:ind w:right="142" w:firstLine="567"/>
        <w:jc w:val="both"/>
        <w:rPr>
          <w:rFonts w:ascii="Arial" w:hAnsi="Arial" w:cs="Arial"/>
        </w:rPr>
      </w:pPr>
      <w:r w:rsidRPr="005259AA">
        <w:rPr>
          <w:rFonts w:ascii="Arial" w:hAnsi="Arial" w:cs="Arial"/>
        </w:rPr>
        <w:t xml:space="preserve">Объем платных услуг населению Калужской области в январе - </w:t>
      </w:r>
      <w:r w:rsidR="00EA0E52" w:rsidRPr="005259AA">
        <w:rPr>
          <w:rFonts w:ascii="Arial" w:hAnsi="Arial" w:cs="Arial"/>
        </w:rPr>
        <w:t>июне</w:t>
      </w:r>
      <w:r w:rsidR="00DF6B51">
        <w:rPr>
          <w:rFonts w:ascii="Arial" w:hAnsi="Arial" w:cs="Arial"/>
        </w:rPr>
        <w:t xml:space="preserve"> 2024 года</w:t>
      </w:r>
      <w:r w:rsidRPr="005259AA">
        <w:rPr>
          <w:rFonts w:ascii="Arial" w:hAnsi="Arial" w:cs="Arial"/>
        </w:rPr>
        <w:t xml:space="preserve"> составил </w:t>
      </w:r>
      <w:r w:rsidRPr="005259AA">
        <w:rPr>
          <w:rFonts w:ascii="Arial" w:hAnsi="Arial" w:cs="Arial"/>
        </w:rPr>
        <w:br/>
      </w:r>
      <w:r w:rsidR="00EA0E52" w:rsidRPr="005259AA">
        <w:rPr>
          <w:rFonts w:ascii="Arial" w:hAnsi="Arial" w:cs="Arial"/>
        </w:rPr>
        <w:t>42 млрд 319 млн рублей, что в сопоставимых ценах на 5,7%</w:t>
      </w:r>
      <w:r w:rsidR="00EA0E52" w:rsidRPr="005259AA">
        <w:rPr>
          <w:rFonts w:ascii="Arial" w:hAnsi="Arial" w:cs="Arial"/>
          <w:vertAlign w:val="superscript"/>
        </w:rPr>
        <w:t xml:space="preserve"> </w:t>
      </w:r>
      <w:r w:rsidR="00DF6B51">
        <w:rPr>
          <w:rFonts w:ascii="Arial" w:hAnsi="Arial" w:cs="Arial"/>
        </w:rPr>
        <w:t>больше, чем в</w:t>
      </w:r>
      <w:r w:rsidR="00EA0E52" w:rsidRPr="005259AA">
        <w:rPr>
          <w:rFonts w:ascii="Arial" w:hAnsi="Arial" w:cs="Arial"/>
        </w:rPr>
        <w:t xml:space="preserve"> январе - июне 2023 г</w:t>
      </w:r>
      <w:r w:rsidR="00DF6B51">
        <w:rPr>
          <w:rFonts w:ascii="Arial" w:hAnsi="Arial" w:cs="Arial"/>
        </w:rPr>
        <w:t>ода</w:t>
      </w:r>
      <w:r w:rsidR="00EA0E52" w:rsidRPr="005259AA">
        <w:rPr>
          <w:rFonts w:ascii="Arial" w:hAnsi="Arial" w:cs="Arial"/>
        </w:rPr>
        <w:t>.</w:t>
      </w:r>
    </w:p>
    <w:p w:rsidR="00A96FB4" w:rsidRPr="005259AA" w:rsidRDefault="00C51737">
      <w:pPr>
        <w:ind w:right="142" w:firstLine="567"/>
        <w:jc w:val="both"/>
        <w:rPr>
          <w:rFonts w:ascii="Arial" w:hAnsi="Arial" w:cs="Arial"/>
        </w:rPr>
      </w:pPr>
      <w:r w:rsidRPr="005259AA">
        <w:rPr>
          <w:rFonts w:ascii="Arial" w:hAnsi="Arial" w:cs="Arial"/>
        </w:rPr>
        <w:t xml:space="preserve">В структуре платных услуг населению услуги жилищно-коммунального хозяйства составили </w:t>
      </w:r>
      <w:r w:rsidR="00EA0E52" w:rsidRPr="005259AA">
        <w:rPr>
          <w:rFonts w:ascii="Arial" w:hAnsi="Arial" w:cs="Arial"/>
        </w:rPr>
        <w:t>37</w:t>
      </w:r>
      <w:r w:rsidRPr="005259AA">
        <w:rPr>
          <w:rFonts w:ascii="Arial" w:hAnsi="Arial" w:cs="Arial"/>
        </w:rPr>
        <w:t>% от общего объема, бытовые – 13</w:t>
      </w:r>
      <w:r w:rsidR="00B352E7" w:rsidRPr="005259AA">
        <w:rPr>
          <w:rFonts w:ascii="Arial" w:hAnsi="Arial" w:cs="Arial"/>
        </w:rPr>
        <w:t>,</w:t>
      </w:r>
      <w:r w:rsidR="00EA0E52" w:rsidRPr="005259AA">
        <w:rPr>
          <w:rFonts w:ascii="Arial" w:hAnsi="Arial" w:cs="Arial"/>
        </w:rPr>
        <w:t>7</w:t>
      </w:r>
      <w:r w:rsidRPr="005259AA">
        <w:rPr>
          <w:rFonts w:ascii="Arial" w:hAnsi="Arial" w:cs="Arial"/>
        </w:rPr>
        <w:t>%, медицинские – 12,</w:t>
      </w:r>
      <w:r w:rsidR="00EA0E52" w:rsidRPr="005259AA">
        <w:rPr>
          <w:rFonts w:ascii="Arial" w:hAnsi="Arial" w:cs="Arial"/>
        </w:rPr>
        <w:t>7</w:t>
      </w:r>
      <w:r w:rsidRPr="005259AA">
        <w:rPr>
          <w:rFonts w:ascii="Arial" w:hAnsi="Arial" w:cs="Arial"/>
        </w:rPr>
        <w:t>%, телекоммуникационные – 11</w:t>
      </w:r>
      <w:r w:rsidR="00B352E7" w:rsidRPr="005259AA">
        <w:rPr>
          <w:rFonts w:ascii="Arial" w:hAnsi="Arial" w:cs="Arial"/>
        </w:rPr>
        <w:t>,</w:t>
      </w:r>
      <w:r w:rsidR="00EA0E52" w:rsidRPr="005259AA">
        <w:rPr>
          <w:rFonts w:ascii="Arial" w:hAnsi="Arial" w:cs="Arial"/>
        </w:rPr>
        <w:t>3</w:t>
      </w:r>
      <w:r w:rsidRPr="005259AA">
        <w:rPr>
          <w:rFonts w:ascii="Arial" w:hAnsi="Arial" w:cs="Arial"/>
        </w:rPr>
        <w:t xml:space="preserve">%, транспортные услуги – </w:t>
      </w:r>
      <w:r w:rsidR="00EA0E52" w:rsidRPr="005259AA">
        <w:rPr>
          <w:rFonts w:ascii="Arial" w:hAnsi="Arial" w:cs="Arial"/>
        </w:rPr>
        <w:t>7,1</w:t>
      </w:r>
      <w:r w:rsidRPr="005259AA">
        <w:rPr>
          <w:rFonts w:ascii="Arial" w:hAnsi="Arial" w:cs="Arial"/>
        </w:rPr>
        <w:t>%.</w:t>
      </w:r>
    </w:p>
    <w:p w:rsidR="00A96FB4" w:rsidRPr="005259AA" w:rsidRDefault="00C51737">
      <w:pPr>
        <w:ind w:right="142" w:firstLine="567"/>
        <w:jc w:val="both"/>
        <w:rPr>
          <w:rFonts w:ascii="Arial" w:hAnsi="Arial" w:cs="Arial"/>
        </w:rPr>
      </w:pPr>
      <w:r w:rsidRPr="005259AA">
        <w:rPr>
          <w:rFonts w:ascii="Arial" w:hAnsi="Arial" w:cs="Arial"/>
        </w:rPr>
        <w:t>Населению оказ</w:t>
      </w:r>
      <w:r w:rsidR="00DF6B51">
        <w:rPr>
          <w:rFonts w:ascii="Arial" w:hAnsi="Arial" w:cs="Arial"/>
        </w:rPr>
        <w:t>ано услуг бытового характера на</w:t>
      </w:r>
      <w:bookmarkStart w:id="0" w:name="_GoBack"/>
      <w:bookmarkEnd w:id="0"/>
      <w:r w:rsidR="00EA0E52" w:rsidRPr="005259AA">
        <w:rPr>
          <w:rFonts w:ascii="Arial" w:hAnsi="Arial" w:cs="Arial"/>
        </w:rPr>
        <w:t xml:space="preserve"> 5 млрд 803 млн рублей</w:t>
      </w:r>
      <w:r w:rsidRPr="005259AA">
        <w:rPr>
          <w:rFonts w:ascii="Arial" w:hAnsi="Arial" w:cs="Arial"/>
        </w:rPr>
        <w:t xml:space="preserve">. В сопоставимых ценах объем бытовых услуг увеличился на </w:t>
      </w:r>
      <w:r w:rsidR="00A25791" w:rsidRPr="005259AA">
        <w:rPr>
          <w:rFonts w:ascii="Arial" w:hAnsi="Arial" w:cs="Arial"/>
        </w:rPr>
        <w:t>13,7</w:t>
      </w:r>
      <w:r w:rsidRPr="005259AA">
        <w:rPr>
          <w:rFonts w:ascii="Arial" w:hAnsi="Arial" w:cs="Arial"/>
        </w:rPr>
        <w:t>% к соответствующему периоду прошлого года.</w:t>
      </w:r>
    </w:p>
    <w:p w:rsidR="00A96FB4" w:rsidRDefault="00C51737">
      <w:pPr>
        <w:ind w:right="142" w:firstLine="567"/>
        <w:jc w:val="both"/>
        <w:rPr>
          <w:rFonts w:ascii="Arial" w:hAnsi="Arial" w:cs="Arial"/>
          <w:spacing w:val="-2"/>
        </w:rPr>
      </w:pPr>
      <w:r w:rsidRPr="005259AA">
        <w:rPr>
          <w:rFonts w:ascii="Arial" w:hAnsi="Arial" w:cs="Arial"/>
        </w:rPr>
        <w:t xml:space="preserve">В объеме бытовых услуг </w:t>
      </w:r>
      <w:r w:rsidR="00A25791" w:rsidRPr="005259AA">
        <w:rPr>
          <w:rFonts w:ascii="Arial" w:hAnsi="Arial" w:cs="Arial"/>
        </w:rPr>
        <w:t>26,4</w:t>
      </w:r>
      <w:r w:rsidRPr="005259AA">
        <w:rPr>
          <w:rFonts w:ascii="Arial" w:hAnsi="Arial" w:cs="Arial"/>
        </w:rPr>
        <w:t xml:space="preserve">% составили парикмахерские услуги, услуги по техническому </w:t>
      </w:r>
      <w:r w:rsidRPr="005259AA">
        <w:rPr>
          <w:rFonts w:ascii="Arial" w:hAnsi="Arial" w:cs="Arial"/>
          <w:spacing w:val="-2"/>
        </w:rPr>
        <w:t xml:space="preserve">обслуживанию и ремонту транспортных средств, машин и оборудования </w:t>
      </w:r>
      <w:r w:rsidRPr="005259AA">
        <w:rPr>
          <w:rFonts w:ascii="Arial" w:hAnsi="Arial" w:cs="Arial"/>
        </w:rPr>
        <w:t xml:space="preserve">– </w:t>
      </w:r>
      <w:r w:rsidR="00A25791" w:rsidRPr="005259AA">
        <w:rPr>
          <w:rFonts w:ascii="Arial" w:hAnsi="Arial" w:cs="Arial"/>
          <w:spacing w:val="-2"/>
        </w:rPr>
        <w:t>25,</w:t>
      </w:r>
      <w:r w:rsidR="00EA0E52" w:rsidRPr="005259AA">
        <w:rPr>
          <w:rFonts w:ascii="Arial" w:hAnsi="Arial" w:cs="Arial"/>
          <w:spacing w:val="-2"/>
        </w:rPr>
        <w:t>4</w:t>
      </w:r>
      <w:r w:rsidRPr="005259AA">
        <w:rPr>
          <w:rFonts w:ascii="Arial" w:hAnsi="Arial" w:cs="Arial"/>
          <w:spacing w:val="-2"/>
        </w:rPr>
        <w:t>%, услуги</w:t>
      </w:r>
      <w:r w:rsidRPr="005259AA">
        <w:rPr>
          <w:rFonts w:ascii="Arial" w:hAnsi="Arial" w:cs="Arial"/>
        </w:rPr>
        <w:t xml:space="preserve"> по ремонту </w:t>
      </w:r>
      <w:r w:rsidRPr="005259AA">
        <w:rPr>
          <w:rFonts w:ascii="Arial" w:hAnsi="Arial" w:cs="Arial"/>
        </w:rPr>
        <w:br/>
        <w:t xml:space="preserve">и </w:t>
      </w:r>
      <w:r w:rsidRPr="005259AA">
        <w:rPr>
          <w:rFonts w:ascii="Arial" w:hAnsi="Arial" w:cs="Arial"/>
          <w:spacing w:val="-2"/>
        </w:rPr>
        <w:t>строительству жилья и других построек</w:t>
      </w:r>
      <w:r w:rsidRPr="005259AA">
        <w:rPr>
          <w:rFonts w:ascii="Arial" w:hAnsi="Arial" w:cs="Arial"/>
        </w:rPr>
        <w:t xml:space="preserve"> -</w:t>
      </w:r>
      <w:r w:rsidRPr="005259AA">
        <w:rPr>
          <w:rFonts w:ascii="Arial" w:hAnsi="Arial" w:cs="Arial"/>
          <w:spacing w:val="-2"/>
        </w:rPr>
        <w:t xml:space="preserve">– </w:t>
      </w:r>
      <w:r w:rsidRPr="005259AA">
        <w:rPr>
          <w:rFonts w:ascii="Arial" w:hAnsi="Arial" w:cs="Arial"/>
        </w:rPr>
        <w:t>2</w:t>
      </w:r>
      <w:r w:rsidR="00A25791" w:rsidRPr="005259AA">
        <w:rPr>
          <w:rFonts w:ascii="Arial" w:hAnsi="Arial" w:cs="Arial"/>
        </w:rPr>
        <w:t>3</w:t>
      </w:r>
      <w:r w:rsidRPr="005259AA">
        <w:rPr>
          <w:rFonts w:ascii="Arial" w:hAnsi="Arial" w:cs="Arial"/>
        </w:rPr>
        <w:t>,</w:t>
      </w:r>
      <w:r w:rsidR="00EA0E52" w:rsidRPr="005259AA">
        <w:rPr>
          <w:rFonts w:ascii="Arial" w:hAnsi="Arial" w:cs="Arial"/>
        </w:rPr>
        <w:t>6</w:t>
      </w:r>
      <w:r w:rsidRPr="005259AA">
        <w:rPr>
          <w:rFonts w:ascii="Arial" w:hAnsi="Arial" w:cs="Arial"/>
        </w:rPr>
        <w:t xml:space="preserve">%, </w:t>
      </w:r>
      <w:r w:rsidRPr="005259AA">
        <w:rPr>
          <w:rFonts w:ascii="Arial" w:hAnsi="Arial" w:cs="Arial"/>
          <w:spacing w:val="-2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 – 5,</w:t>
      </w:r>
      <w:r w:rsidR="00A25791" w:rsidRPr="005259AA">
        <w:rPr>
          <w:rFonts w:ascii="Arial" w:hAnsi="Arial" w:cs="Arial"/>
          <w:spacing w:val="-2"/>
        </w:rPr>
        <w:t>1</w:t>
      </w:r>
      <w:r w:rsidRPr="005259AA">
        <w:rPr>
          <w:rFonts w:ascii="Arial" w:hAnsi="Arial" w:cs="Arial"/>
          <w:spacing w:val="-2"/>
        </w:rPr>
        <w:t>%.</w:t>
      </w:r>
    </w:p>
    <w:p w:rsidR="00A96FB4" w:rsidRDefault="00A96FB4">
      <w:pPr>
        <w:ind w:firstLine="567"/>
        <w:jc w:val="both"/>
        <w:rPr>
          <w:rFonts w:ascii="Arial" w:hAnsi="Arial" w:cs="Arial"/>
          <w:color w:val="282A2E"/>
        </w:rPr>
      </w:pPr>
    </w:p>
    <w:sectPr w:rsidR="00A96FB4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08" w:rsidRDefault="00CD0108">
      <w:pPr>
        <w:spacing w:after="0" w:line="240" w:lineRule="auto"/>
      </w:pPr>
      <w:r>
        <w:separator/>
      </w:r>
    </w:p>
  </w:endnote>
  <w:endnote w:type="continuationSeparator" w:id="0">
    <w:p w:rsidR="00CD0108" w:rsidRDefault="00CD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/>
    <w:sdtContent>
      <w:p w:rsidR="00A96FB4" w:rsidRDefault="00C51737">
        <w:pPr>
          <w:pStyle w:val="af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 w:themeColor="text1"/>
            <w:sz w:val="24"/>
            <w:szCs w:val="24"/>
          </w:rPr>
          <w:t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A96FB4" w:rsidRDefault="00A96FB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08" w:rsidRDefault="00CD0108">
      <w:pPr>
        <w:spacing w:after="0" w:line="240" w:lineRule="auto"/>
      </w:pPr>
      <w:r>
        <w:separator/>
      </w:r>
    </w:p>
  </w:footnote>
  <w:footnote w:type="continuationSeparator" w:id="0">
    <w:p w:rsidR="00CD0108" w:rsidRDefault="00CD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B4" w:rsidRDefault="00A96FB4">
    <w:pPr>
      <w:pStyle w:val="af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7D000EB2"/>
    <w:lvl w:ilvl="0" w:tplc="0BE21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B88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EF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E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A5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0F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ED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DCE"/>
    <w:multiLevelType w:val="hybridMultilevel"/>
    <w:tmpl w:val="1FC4EAA0"/>
    <w:lvl w:ilvl="0" w:tplc="9CAA8C88">
      <w:start w:val="1"/>
      <w:numFmt w:val="decimal"/>
      <w:lvlText w:val="%1."/>
      <w:lvlJc w:val="left"/>
      <w:pPr>
        <w:ind w:left="1287" w:hanging="360"/>
      </w:pPr>
    </w:lvl>
    <w:lvl w:ilvl="1" w:tplc="9E50F524">
      <w:start w:val="1"/>
      <w:numFmt w:val="lowerLetter"/>
      <w:lvlText w:val="%2."/>
      <w:lvlJc w:val="left"/>
      <w:pPr>
        <w:ind w:left="2007" w:hanging="360"/>
      </w:pPr>
    </w:lvl>
    <w:lvl w:ilvl="2" w:tplc="310A9F38">
      <w:start w:val="1"/>
      <w:numFmt w:val="lowerRoman"/>
      <w:lvlText w:val="%3."/>
      <w:lvlJc w:val="right"/>
      <w:pPr>
        <w:ind w:left="2727" w:hanging="180"/>
      </w:pPr>
    </w:lvl>
    <w:lvl w:ilvl="3" w:tplc="959E6D9E">
      <w:start w:val="1"/>
      <w:numFmt w:val="decimal"/>
      <w:lvlText w:val="%4."/>
      <w:lvlJc w:val="left"/>
      <w:pPr>
        <w:ind w:left="3447" w:hanging="360"/>
      </w:pPr>
    </w:lvl>
    <w:lvl w:ilvl="4" w:tplc="C6AA0B5E">
      <w:start w:val="1"/>
      <w:numFmt w:val="lowerLetter"/>
      <w:lvlText w:val="%5."/>
      <w:lvlJc w:val="left"/>
      <w:pPr>
        <w:ind w:left="4167" w:hanging="360"/>
      </w:pPr>
    </w:lvl>
    <w:lvl w:ilvl="5" w:tplc="7D2EBA86">
      <w:start w:val="1"/>
      <w:numFmt w:val="lowerRoman"/>
      <w:lvlText w:val="%6."/>
      <w:lvlJc w:val="right"/>
      <w:pPr>
        <w:ind w:left="4887" w:hanging="180"/>
      </w:pPr>
    </w:lvl>
    <w:lvl w:ilvl="6" w:tplc="5CF80C2C">
      <w:start w:val="1"/>
      <w:numFmt w:val="decimal"/>
      <w:lvlText w:val="%7."/>
      <w:lvlJc w:val="left"/>
      <w:pPr>
        <w:ind w:left="5607" w:hanging="360"/>
      </w:pPr>
    </w:lvl>
    <w:lvl w:ilvl="7" w:tplc="70782334">
      <w:start w:val="1"/>
      <w:numFmt w:val="lowerLetter"/>
      <w:lvlText w:val="%8."/>
      <w:lvlJc w:val="left"/>
      <w:pPr>
        <w:ind w:left="6327" w:hanging="360"/>
      </w:pPr>
    </w:lvl>
    <w:lvl w:ilvl="8" w:tplc="CCE29D4C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5D522D"/>
    <w:multiLevelType w:val="hybridMultilevel"/>
    <w:tmpl w:val="BBD46BD4"/>
    <w:lvl w:ilvl="0" w:tplc="464AF2EC">
      <w:start w:val="1"/>
      <w:numFmt w:val="decimal"/>
      <w:lvlText w:val="%1."/>
      <w:lvlJc w:val="left"/>
      <w:pPr>
        <w:ind w:left="1287" w:hanging="360"/>
      </w:pPr>
    </w:lvl>
    <w:lvl w:ilvl="1" w:tplc="D2164628">
      <w:start w:val="1"/>
      <w:numFmt w:val="lowerLetter"/>
      <w:lvlText w:val="%2."/>
      <w:lvlJc w:val="left"/>
      <w:pPr>
        <w:ind w:left="2007" w:hanging="360"/>
      </w:pPr>
    </w:lvl>
    <w:lvl w:ilvl="2" w:tplc="BE2C4A6A">
      <w:start w:val="1"/>
      <w:numFmt w:val="lowerRoman"/>
      <w:lvlText w:val="%3."/>
      <w:lvlJc w:val="right"/>
      <w:pPr>
        <w:ind w:left="2727" w:hanging="180"/>
      </w:pPr>
    </w:lvl>
    <w:lvl w:ilvl="3" w:tplc="42EA58FC">
      <w:start w:val="1"/>
      <w:numFmt w:val="decimal"/>
      <w:lvlText w:val="%4."/>
      <w:lvlJc w:val="left"/>
      <w:pPr>
        <w:ind w:left="3447" w:hanging="360"/>
      </w:pPr>
    </w:lvl>
    <w:lvl w:ilvl="4" w:tplc="33F0D91A">
      <w:start w:val="1"/>
      <w:numFmt w:val="lowerLetter"/>
      <w:lvlText w:val="%5."/>
      <w:lvlJc w:val="left"/>
      <w:pPr>
        <w:ind w:left="4167" w:hanging="360"/>
      </w:pPr>
    </w:lvl>
    <w:lvl w:ilvl="5" w:tplc="574C8DD0">
      <w:start w:val="1"/>
      <w:numFmt w:val="lowerRoman"/>
      <w:lvlText w:val="%6."/>
      <w:lvlJc w:val="right"/>
      <w:pPr>
        <w:ind w:left="4887" w:hanging="180"/>
      </w:pPr>
    </w:lvl>
    <w:lvl w:ilvl="6" w:tplc="CFD47640">
      <w:start w:val="1"/>
      <w:numFmt w:val="decimal"/>
      <w:lvlText w:val="%7."/>
      <w:lvlJc w:val="left"/>
      <w:pPr>
        <w:ind w:left="5607" w:hanging="360"/>
      </w:pPr>
    </w:lvl>
    <w:lvl w:ilvl="7" w:tplc="E25A40B2">
      <w:start w:val="1"/>
      <w:numFmt w:val="lowerLetter"/>
      <w:lvlText w:val="%8."/>
      <w:lvlJc w:val="left"/>
      <w:pPr>
        <w:ind w:left="6327" w:hanging="360"/>
      </w:pPr>
    </w:lvl>
    <w:lvl w:ilvl="8" w:tplc="65C829CA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990BBF"/>
    <w:multiLevelType w:val="hybridMultilevel"/>
    <w:tmpl w:val="86A047F8"/>
    <w:lvl w:ilvl="0" w:tplc="719C08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DBE8BF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F16109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54E1B4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CA8422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74AB85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BEEB07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380915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DDE4BE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3761C0"/>
    <w:multiLevelType w:val="hybridMultilevel"/>
    <w:tmpl w:val="ADD8CDDA"/>
    <w:lvl w:ilvl="0" w:tplc="B7B05B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B089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185A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2C48A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DAF0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F0403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D69E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54F4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D6BB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B4"/>
    <w:rsid w:val="00283EB1"/>
    <w:rsid w:val="002F5D07"/>
    <w:rsid w:val="005259AA"/>
    <w:rsid w:val="005B3F22"/>
    <w:rsid w:val="008010DB"/>
    <w:rsid w:val="00A25791"/>
    <w:rsid w:val="00A96FB4"/>
    <w:rsid w:val="00AB6D9E"/>
    <w:rsid w:val="00B260AF"/>
    <w:rsid w:val="00B352E7"/>
    <w:rsid w:val="00C51737"/>
    <w:rsid w:val="00CD0108"/>
    <w:rsid w:val="00D9726A"/>
    <w:rsid w:val="00DF6B51"/>
    <w:rsid w:val="00EA0E52"/>
    <w:rsid w:val="00EC4280"/>
    <w:rsid w:val="00F22DF2"/>
    <w:rsid w:val="00F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B378-B763-4C44-BC30-C413CF5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bottom w:val="single" w:sz="4" w:space="0" w:color="8D929C" w:themeColor="text1" w:themeTint="80"/>
      </w:tblBorders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bottom w:val="single" w:sz="4" w:space="0" w:color="363194" w:themeColor="accent1"/>
      </w:tblBorders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bottom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bottom w:val="single" w:sz="4" w:space="0" w:color="82A8DD" w:themeColor="accent3" w:themeTint="98"/>
      </w:tblBorders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bottom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bottom w:val="single" w:sz="4" w:space="0" w:color="FFCBA9" w:themeColor="accent6" w:themeTint="98"/>
      </w:tblBorders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929C" w:themeColor="text1" w:themeTint="80"/>
      </w:tblBorders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63194" w:themeColor="accent1"/>
      </w:tblBorders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EA591" w:themeColor="accent2" w:themeTint="97"/>
      </w:tblBorders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2A8DD" w:themeColor="accent3" w:themeTint="98"/>
      </w:tblBorders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CCFAF" w:themeColor="accent4" w:themeTint="9A"/>
      </w:tblBorders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BA9" w:themeColor="accent6" w:themeTint="98"/>
      </w:tblBorders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F26C-36C0-4599-AF58-A2223AA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Ефимова Елена Александровна</cp:lastModifiedBy>
  <cp:revision>3</cp:revision>
  <dcterms:created xsi:type="dcterms:W3CDTF">2024-08-09T08:06:00Z</dcterms:created>
  <dcterms:modified xsi:type="dcterms:W3CDTF">2024-08-09T08:33:00Z</dcterms:modified>
</cp:coreProperties>
</file>